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26809439"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F27D3">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2FF8CD2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3F27D3">
              <w:rPr>
                <w:rFonts w:ascii="Arial" w:hAnsi="Arial" w:cs="Arial"/>
                <w:b/>
                <w:color w:val="000000"/>
                <w:sz w:val="22"/>
                <w:szCs w:val="22"/>
                <w:lang w:bidi="en-US"/>
              </w:rPr>
              <w:t>.</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2754178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w:t>
            </w:r>
            <w:r w:rsidR="003F27D3">
              <w:rPr>
                <w:rFonts w:ascii="Arial" w:hAnsi="Arial" w:cs="Arial"/>
                <w:color w:val="000000"/>
                <w:sz w:val="22"/>
                <w:szCs w:val="22"/>
                <w:lang w:bidi="en-US"/>
              </w:rPr>
              <w:t xml:space="preserve"> </w:t>
            </w:r>
            <w:proofErr w:type="gramStart"/>
            <w:r w:rsidR="003F27D3">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 minutes</w:t>
            </w:r>
            <w:proofErr w:type="gramEnd"/>
            <w:r w:rsidRPr="00D13515">
              <w:rPr>
                <w:rFonts w:ascii="Arial" w:hAnsi="Arial" w:cs="Arial"/>
                <w:color w:val="000000"/>
                <w:sz w:val="22"/>
                <w:szCs w:val="22"/>
                <w:lang w:bidi="en-US"/>
              </w:rPr>
              <w:t xml:space="preserve">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E487E6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3F27D3">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6F5442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740062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3F27D3">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589471C"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6B82ADE6"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w:t>
      </w:r>
      <w:r w:rsidR="003F27D3">
        <w:rPr>
          <w:rFonts w:ascii="Arial" w:hAnsi="Arial" w:cs="Arial"/>
          <w:color w:val="000000"/>
          <w:sz w:val="22"/>
          <w:szCs w:val="22"/>
          <w:lang w:bidi="en-US"/>
        </w:rPr>
        <w:t xml:space="preserve"> </w:t>
      </w:r>
      <w:r w:rsidRPr="00D13515">
        <w:rPr>
          <w:rFonts w:ascii="Arial" w:hAnsi="Arial" w:cs="Arial"/>
          <w:color w:val="000000"/>
          <w:sz w:val="22"/>
          <w:szCs w:val="22"/>
          <w:lang w:bidi="en-US"/>
        </w:rPr>
        <w:t>or a sub-committee does not call an e</w:t>
      </w:r>
      <w:r w:rsidR="00BD1CB6">
        <w:rPr>
          <w:rFonts w:ascii="Arial" w:hAnsi="Arial" w:cs="Arial"/>
          <w:color w:val="000000"/>
          <w:sz w:val="22"/>
          <w:szCs w:val="22"/>
          <w:lang w:bidi="en-US"/>
        </w:rPr>
        <w:t xml:space="preserve">xtraordinary meeting within </w:t>
      </w:r>
      <w:r w:rsidR="003F27D3">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F27D3">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w:t>
      </w:r>
      <w:proofErr w:type="gramStart"/>
      <w:r w:rsidRPr="00D13515">
        <w:rPr>
          <w:rFonts w:ascii="Arial" w:hAnsi="Arial" w:cs="Arial"/>
          <w:color w:val="000000"/>
          <w:sz w:val="22"/>
          <w:szCs w:val="22"/>
          <w:lang w:bidi="en-US"/>
        </w:rPr>
        <w:t>committee ,</w:t>
      </w:r>
      <w:proofErr w:type="gramEnd"/>
      <w:r w:rsidRPr="00D13515">
        <w:rPr>
          <w:rFonts w:ascii="Arial" w:hAnsi="Arial" w:cs="Arial"/>
          <w:color w:val="000000"/>
          <w:sz w:val="22"/>
          <w:szCs w:val="22"/>
          <w:lang w:bidi="en-US"/>
        </w:rPr>
        <w:t xml:space="preserve"> any </w:t>
      </w:r>
      <w:r w:rsidR="003F27D3">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w:t>
      </w:r>
      <w:proofErr w:type="gramStart"/>
      <w:r w:rsidR="004B1097" w:rsidRPr="00D13515">
        <w:rPr>
          <w:rFonts w:ascii="Arial" w:hAnsi="Arial" w:cs="Arial"/>
          <w:color w:val="000000"/>
          <w:sz w:val="22"/>
          <w:szCs w:val="22"/>
          <w:lang w:bidi="en-US"/>
        </w:rPr>
        <w:t xml:space="preserve">committee </w:t>
      </w:r>
      <w:r w:rsidRPr="00D13515">
        <w:rPr>
          <w:rFonts w:ascii="Arial" w:hAnsi="Arial" w:cs="Arial"/>
          <w:color w:val="000000"/>
          <w:sz w:val="22"/>
          <w:szCs w:val="22"/>
          <w:lang w:bidi="en-US"/>
        </w:rPr>
        <w:t xml:space="preserve"> may</w:t>
      </w:r>
      <w:proofErr w:type="gramEnd"/>
      <w:r w:rsidRPr="00D13515">
        <w:rPr>
          <w:rFonts w:ascii="Arial" w:hAnsi="Arial" w:cs="Arial"/>
          <w:color w:val="000000"/>
          <w:sz w:val="22"/>
          <w:szCs w:val="22"/>
          <w:lang w:bidi="en-US"/>
        </w:rPr>
        <w:t xml:space="preserve">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w:t>
      </w:r>
      <w:proofErr w:type="gramStart"/>
      <w:r w:rsidR="004B1097" w:rsidRPr="00D13515">
        <w:rPr>
          <w:rFonts w:ascii="Arial" w:hAnsi="Arial" w:cs="Arial"/>
          <w:color w:val="000000"/>
          <w:sz w:val="22"/>
          <w:szCs w:val="22"/>
          <w:lang w:bidi="en-US"/>
        </w:rPr>
        <w:t xml:space="preserve">committee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2A78319"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3F27D3">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B7EB85A"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F7615A">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2FB57C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F7615A">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2282663"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E103A38" w14:textId="77777777" w:rsidR="00F7615A" w:rsidRPr="00F7615A" w:rsidRDefault="00883BA0" w:rsidP="00CB406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F7615A">
        <w:rPr>
          <w:rFonts w:ascii="Arial" w:hAnsi="Arial" w:cs="Arial"/>
          <w:bCs/>
          <w:color w:val="000000"/>
          <w:spacing w:val="-2"/>
          <w:sz w:val="22"/>
          <w:szCs w:val="22"/>
          <w:lang w:bidi="en-US"/>
        </w:rPr>
        <w:t>Subject to standing orders 13(d) and (f</w:t>
      </w:r>
      <w:r w:rsidR="00473A3F" w:rsidRPr="00F7615A">
        <w:rPr>
          <w:rFonts w:ascii="Arial" w:hAnsi="Arial" w:cs="Arial"/>
          <w:bCs/>
          <w:color w:val="000000"/>
          <w:spacing w:val="-2"/>
          <w:sz w:val="22"/>
          <w:szCs w:val="22"/>
          <w:lang w:bidi="en-US"/>
        </w:rPr>
        <w:t>),</w:t>
      </w:r>
      <w:r w:rsidRPr="00F7615A">
        <w:rPr>
          <w:rFonts w:ascii="Arial" w:hAnsi="Arial" w:cs="Arial"/>
          <w:bCs/>
          <w:color w:val="000000"/>
          <w:spacing w:val="-2"/>
          <w:sz w:val="22"/>
          <w:szCs w:val="22"/>
          <w:lang w:bidi="en-US"/>
        </w:rPr>
        <w:t xml:space="preserve"> </w:t>
      </w:r>
      <w:r w:rsidR="004D55C3" w:rsidRPr="00F7615A">
        <w:rPr>
          <w:rFonts w:ascii="Arial" w:hAnsi="Arial" w:cs="Arial"/>
          <w:bCs/>
          <w:color w:val="000000"/>
          <w:spacing w:val="-2"/>
          <w:sz w:val="22"/>
          <w:szCs w:val="22"/>
          <w:lang w:bidi="en-US"/>
        </w:rPr>
        <w:t>a dispensation request</w:t>
      </w:r>
      <w:r w:rsidRPr="00F7615A">
        <w:rPr>
          <w:rFonts w:ascii="Arial" w:hAnsi="Arial" w:cs="Arial"/>
          <w:bCs/>
          <w:color w:val="000000"/>
          <w:spacing w:val="-2"/>
          <w:sz w:val="22"/>
          <w:szCs w:val="22"/>
          <w:lang w:bidi="en-US"/>
        </w:rPr>
        <w:t xml:space="preserve"> shall be considered</w:t>
      </w:r>
      <w:r w:rsidR="00F7615A" w:rsidRPr="00F7615A">
        <w:rPr>
          <w:rFonts w:ascii="Arial" w:hAnsi="Arial" w:cs="Arial"/>
          <w:bCs/>
          <w:color w:val="000000"/>
          <w:spacing w:val="-2"/>
          <w:sz w:val="22"/>
          <w:szCs w:val="22"/>
          <w:lang w:bidi="en-US"/>
        </w:rPr>
        <w:t xml:space="preserve"> </w:t>
      </w:r>
      <w:r w:rsidRPr="00F7615A">
        <w:rPr>
          <w:rFonts w:ascii="Arial" w:hAnsi="Arial" w:cs="Arial"/>
          <w:bCs/>
          <w:color w:val="000000"/>
          <w:spacing w:val="-2"/>
          <w:sz w:val="22"/>
          <w:szCs w:val="22"/>
          <w:lang w:bidi="en-US"/>
        </w:rPr>
        <w:t>by the Proper Officer before the meeting or, if this is not possible, at the start of the meeting for which the dispensation is required</w:t>
      </w:r>
    </w:p>
    <w:p w14:paraId="007B309F" w14:textId="5EFD7F79" w:rsidR="00883BA0" w:rsidRPr="00F7615A" w:rsidRDefault="00883BA0" w:rsidP="00CB406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F7615A">
        <w:rPr>
          <w:rFonts w:ascii="Arial" w:hAnsi="Arial" w:cs="Arial"/>
          <w:b/>
          <w:bCs/>
          <w:color w:val="000000"/>
          <w:spacing w:val="-2"/>
          <w:sz w:val="22"/>
          <w:szCs w:val="22"/>
          <w:lang w:bidi="en-US"/>
        </w:rPr>
        <w:lastRenderedPageBreak/>
        <w:t>A dispensation may be granted in accord</w:t>
      </w:r>
      <w:r w:rsidR="00573C4E" w:rsidRPr="00F7615A">
        <w:rPr>
          <w:rFonts w:ascii="Arial" w:hAnsi="Arial" w:cs="Arial"/>
          <w:b/>
          <w:bCs/>
          <w:color w:val="000000"/>
          <w:spacing w:val="-2"/>
          <w:sz w:val="22"/>
          <w:szCs w:val="22"/>
          <w:lang w:bidi="en-US"/>
        </w:rPr>
        <w:t xml:space="preserve">ance with standing order 13(e) </w:t>
      </w:r>
      <w:r w:rsidRPr="00F7615A">
        <w:rPr>
          <w:rFonts w:ascii="Arial" w:hAnsi="Arial" w:cs="Arial"/>
          <w:b/>
          <w:bCs/>
          <w:color w:val="000000"/>
          <w:spacing w:val="-2"/>
          <w:sz w:val="22"/>
          <w:szCs w:val="22"/>
          <w:lang w:bidi="en-US"/>
        </w:rPr>
        <w:t xml:space="preserve">if having regard to all relevant circumstances </w:t>
      </w:r>
      <w:r w:rsidR="00573C4E" w:rsidRPr="00F7615A">
        <w:rPr>
          <w:rFonts w:ascii="Arial" w:hAnsi="Arial" w:cs="Arial"/>
          <w:b/>
          <w:bCs/>
          <w:color w:val="000000"/>
          <w:spacing w:val="-2"/>
          <w:sz w:val="22"/>
          <w:szCs w:val="22"/>
          <w:lang w:bidi="en-US"/>
        </w:rPr>
        <w:t>any of the following apply</w:t>
      </w:r>
      <w:r w:rsidRPr="00F7615A">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45DEB89B"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F7615A">
        <w:rPr>
          <w:rFonts w:ascii="Arial" w:hAnsi="Arial" w:cs="Arial"/>
          <w:color w:val="000000"/>
          <w:sz w:val="22"/>
          <w:szCs w:val="22"/>
          <w:lang w:bidi="en-US"/>
        </w:rPr>
        <w:t>Planning advisory group</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32293F3"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F7615A">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1634BEE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w:t>
      </w:r>
      <w:r w:rsidR="00883BA0" w:rsidRPr="00851C9E">
        <w:rPr>
          <w:rFonts w:ascii="Arial" w:hAnsi="Arial" w:cs="Arial"/>
          <w:color w:val="000000" w:themeColor="text1"/>
          <w:sz w:val="22"/>
          <w:szCs w:val="22"/>
          <w:lang w:bidi="en-US"/>
        </w:rPr>
        <w:t>,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 xml:space="preserve">(if there is </w:t>
      </w:r>
      <w:proofErr w:type="gramStart"/>
      <w:r w:rsidR="00DC7D3C" w:rsidRPr="00851C9E">
        <w:rPr>
          <w:rFonts w:ascii="Arial" w:hAnsi="Arial" w:cs="Arial"/>
          <w:color w:val="000000" w:themeColor="text1"/>
          <w:sz w:val="22"/>
          <w:szCs w:val="22"/>
          <w:lang w:bidi="en-US"/>
        </w:rPr>
        <w:t>one)</w:t>
      </w:r>
      <w:r w:rsidR="007013C4">
        <w:rPr>
          <w:rFonts w:ascii="Arial" w:hAnsi="Arial" w:cs="Arial"/>
          <w:color w:val="000000" w:themeColor="text1"/>
          <w:sz w:val="22"/>
          <w:szCs w:val="22"/>
          <w:lang w:bidi="en-US"/>
        </w:rPr>
        <w:t>of</w:t>
      </w:r>
      <w:proofErr w:type="gramEnd"/>
      <w:r w:rsidR="00883BA0" w:rsidRPr="00D13515">
        <w:rPr>
          <w:rFonts w:ascii="Arial" w:hAnsi="Arial" w:cs="Arial"/>
          <w:color w:val="000000"/>
          <w:sz w:val="22"/>
          <w:szCs w:val="22"/>
          <w:lang w:bidi="en-US"/>
        </w:rPr>
        <w:t xml:space="preserve"> illness or other reason and that person shall report such absence to</w:t>
      </w:r>
      <w:r w:rsidR="007013C4">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the </w:t>
      </w:r>
      <w:proofErr w:type="gramStart"/>
      <w:r w:rsidR="007013C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at</w:t>
      </w:r>
      <w:proofErr w:type="gramEnd"/>
      <w:r w:rsidR="00883BA0" w:rsidRPr="00D13515">
        <w:rPr>
          <w:rFonts w:ascii="Arial" w:hAnsi="Arial" w:cs="Arial"/>
          <w:color w:val="000000"/>
          <w:sz w:val="22"/>
          <w:szCs w:val="22"/>
          <w:lang w:bidi="en-US"/>
        </w:rPr>
        <w:t xml:space="preserve"> its next meeting.</w:t>
      </w:r>
    </w:p>
    <w:p w14:paraId="47D391FC" w14:textId="7CE19869"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7013C4">
        <w:rPr>
          <w:rFonts w:ascii="Arial" w:hAnsi="Arial" w:cs="Arial"/>
          <w:color w:val="000000"/>
          <w:sz w:val="22"/>
          <w:szCs w:val="22"/>
          <w:lang w:bidi="en-US"/>
        </w:rPr>
        <w:t>Clerk/</w:t>
      </w:r>
      <w:proofErr w:type="gramStart"/>
      <w:r w:rsidR="007013C4">
        <w:rPr>
          <w:rFonts w:ascii="Arial" w:hAnsi="Arial" w:cs="Arial"/>
          <w:color w:val="000000"/>
          <w:sz w:val="22"/>
          <w:szCs w:val="22"/>
          <w:lang w:bidi="en-US"/>
        </w:rPr>
        <w:t xml:space="preserve">RFO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7013C4">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3C4B17E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 xml:space="preserve">member of </w:t>
      </w:r>
      <w:proofErr w:type="gramStart"/>
      <w:r w:rsidR="009838BC" w:rsidRPr="00D13515">
        <w:rPr>
          <w:rFonts w:ascii="Arial" w:hAnsi="Arial" w:cs="Arial"/>
          <w:color w:val="000000"/>
          <w:sz w:val="22"/>
          <w:szCs w:val="22"/>
          <w:lang w:bidi="en-US"/>
        </w:rPr>
        <w:t>staff</w:t>
      </w:r>
      <w:r w:rsidR="00883BA0" w:rsidRPr="00D13515">
        <w:rPr>
          <w:rFonts w:ascii="Arial" w:hAnsi="Arial" w:cs="Arial"/>
          <w:color w:val="000000"/>
          <w:sz w:val="22"/>
          <w:szCs w:val="22"/>
          <w:lang w:bidi="en-US"/>
        </w:rPr>
        <w:t xml:space="preserve">  shall</w:t>
      </w:r>
      <w:proofErr w:type="gramEnd"/>
      <w:r w:rsidR="00883BA0" w:rsidRPr="00D13515">
        <w:rPr>
          <w:rFonts w:ascii="Arial" w:hAnsi="Arial" w:cs="Arial"/>
          <w:color w:val="000000"/>
          <w:sz w:val="22"/>
          <w:szCs w:val="22"/>
          <w:lang w:bidi="en-US"/>
        </w:rPr>
        <w:t xml:space="preserve"> contact the chair </w:t>
      </w:r>
      <w:r w:rsidR="007013C4">
        <w:rPr>
          <w:rFonts w:ascii="Arial" w:hAnsi="Arial" w:cs="Arial"/>
          <w:color w:val="000000"/>
          <w:sz w:val="22"/>
          <w:szCs w:val="22"/>
          <w:lang w:bidi="en-US"/>
        </w:rPr>
        <w:t xml:space="preserve">or in their </w:t>
      </w:r>
      <w:proofErr w:type="gramStart"/>
      <w:r w:rsidR="007013C4">
        <w:rPr>
          <w:rFonts w:ascii="Arial" w:hAnsi="Arial" w:cs="Arial"/>
          <w:color w:val="000000"/>
          <w:sz w:val="22"/>
          <w:szCs w:val="22"/>
          <w:lang w:bidi="en-US"/>
        </w:rPr>
        <w:t>absence,</w:t>
      </w:r>
      <w:r w:rsidR="00F53B0A">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 the</w:t>
      </w:r>
      <w:proofErr w:type="gramEnd"/>
      <w:r w:rsidR="00883BA0" w:rsidRPr="00D13515">
        <w:rPr>
          <w:rFonts w:ascii="Arial" w:hAnsi="Arial" w:cs="Arial"/>
          <w:color w:val="000000"/>
          <w:sz w:val="22"/>
          <w:szCs w:val="22"/>
          <w:lang w:bidi="en-US"/>
        </w:rPr>
        <w:t xml:space="preserve"> vice-chair</w:t>
      </w:r>
      <w:r w:rsidR="007013C4">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the </w:t>
      </w:r>
      <w:r w:rsidR="007013C4">
        <w:rPr>
          <w:rFonts w:ascii="Arial" w:hAnsi="Arial" w:cs="Arial"/>
          <w:color w:val="000000"/>
          <w:sz w:val="22"/>
          <w:szCs w:val="22"/>
          <w:lang w:bidi="en-US"/>
        </w:rPr>
        <w:t>Council</w:t>
      </w:r>
    </w:p>
    <w:p w14:paraId="48692D72" w14:textId="28FA754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w:t>
      </w:r>
      <w:r w:rsidR="007013C4">
        <w:rPr>
          <w:rFonts w:ascii="Arial" w:hAnsi="Arial" w:cs="Arial"/>
          <w:color w:val="000000"/>
          <w:sz w:val="22"/>
          <w:szCs w:val="22"/>
          <w:lang w:bidi="en-US"/>
        </w:rPr>
        <w:t xml:space="preserve"> Clerk/RFO</w:t>
      </w:r>
      <w:r w:rsidR="00883BA0" w:rsidRPr="00D13515">
        <w:rPr>
          <w:rFonts w:ascii="Arial" w:hAnsi="Arial" w:cs="Arial"/>
          <w:color w:val="000000"/>
          <w:sz w:val="22"/>
          <w:szCs w:val="22"/>
          <w:lang w:bidi="en-US"/>
        </w:rPr>
        <w:t xml:space="preserve"> relates to the chair or vice-chair of </w:t>
      </w:r>
      <w:r w:rsidR="007013C4">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the </w:t>
      </w:r>
      <w:r w:rsidR="007013C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7013C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0346D013" w14:textId="6B0D59C4" w:rsidR="00E273FE" w:rsidRPr="00D13515" w:rsidRDefault="00E273F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1FC23A18" w:rsidR="00883BA0" w:rsidRPr="00D13515" w:rsidRDefault="007013C4"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Pr>
          <w:rFonts w:ascii="Arial" w:hAnsi="Arial" w:cs="Arial"/>
          <w:b/>
          <w:bCs/>
          <w:color w:val="000000"/>
          <w:sz w:val="22"/>
          <w:szCs w:val="22"/>
          <w:lang w:bidi="en-US"/>
        </w:rPr>
        <w:t>S</w:t>
      </w:r>
      <w:r w:rsidR="00883BA0" w:rsidRPr="00D13515">
        <w:rPr>
          <w:rFonts w:ascii="Arial" w:hAnsi="Arial" w:cs="Arial"/>
          <w:b/>
          <w:bCs/>
          <w:color w:val="000000"/>
          <w:sz w:val="22"/>
          <w:szCs w:val="22"/>
          <w:lang w:bidi="en-US"/>
        </w:rPr>
        <w:t>ubject to standing order 2</w:t>
      </w:r>
      <w:r w:rsidR="00EF6623" w:rsidRPr="00D13515">
        <w:rPr>
          <w:rFonts w:ascii="Arial" w:hAnsi="Arial" w:cs="Arial"/>
          <w:b/>
          <w:bCs/>
          <w:color w:val="000000"/>
          <w:sz w:val="22"/>
          <w:szCs w:val="22"/>
          <w:lang w:bidi="en-US"/>
        </w:rPr>
        <w:t>3</w:t>
      </w:r>
      <w:r w:rsidR="00883BA0"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00883BA0"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lastRenderedPageBreak/>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AF2AE6B"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EF62B9">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6D80" w14:textId="77777777" w:rsidR="00C6430D" w:rsidRDefault="00C6430D" w:rsidP="00E77177">
      <w:r>
        <w:separator/>
      </w:r>
    </w:p>
  </w:endnote>
  <w:endnote w:type="continuationSeparator" w:id="0">
    <w:p w14:paraId="5952B7E4" w14:textId="77777777" w:rsidR="00C6430D" w:rsidRDefault="00C6430D" w:rsidP="00E77177">
      <w:r>
        <w:continuationSeparator/>
      </w:r>
    </w:p>
  </w:endnote>
  <w:endnote w:type="continuationNotice" w:id="1">
    <w:p w14:paraId="362C8343" w14:textId="77777777" w:rsidR="00C6430D" w:rsidRDefault="00C64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88F3" w14:textId="77777777" w:rsidR="00C6430D" w:rsidRDefault="00C6430D" w:rsidP="00E77177">
      <w:r>
        <w:separator/>
      </w:r>
    </w:p>
  </w:footnote>
  <w:footnote w:type="continuationSeparator" w:id="0">
    <w:p w14:paraId="15090FD3" w14:textId="77777777" w:rsidR="00C6430D" w:rsidRDefault="00C6430D" w:rsidP="00E77177">
      <w:r>
        <w:continuationSeparator/>
      </w:r>
    </w:p>
  </w:footnote>
  <w:footnote w:type="continuationNotice" w:id="1">
    <w:p w14:paraId="72A71EBF" w14:textId="77777777" w:rsidR="00C6430D" w:rsidRDefault="00C643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7D3"/>
    <w:rsid w:val="003F281A"/>
    <w:rsid w:val="003F2CFE"/>
    <w:rsid w:val="003F717E"/>
    <w:rsid w:val="00401591"/>
    <w:rsid w:val="00401F20"/>
    <w:rsid w:val="00403AB6"/>
    <w:rsid w:val="00412EB9"/>
    <w:rsid w:val="00416802"/>
    <w:rsid w:val="00425585"/>
    <w:rsid w:val="00426F9E"/>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013C4"/>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91D"/>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3CAE"/>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30D"/>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2B9"/>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615A"/>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7839</Words>
  <Characters>38179</Characters>
  <Application>Microsoft Office Word</Application>
  <DocSecurity>0</DocSecurity>
  <Lines>978</Lines>
  <Paragraphs>438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Richard Day</cp:lastModifiedBy>
  <cp:revision>2</cp:revision>
  <cp:lastPrinted>2018-03-14T04:56:00Z</cp:lastPrinted>
  <dcterms:created xsi:type="dcterms:W3CDTF">2026-04-18T11:15:00Z</dcterms:created>
  <dcterms:modified xsi:type="dcterms:W3CDTF">2026-04-18T11:15:00Z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